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6BB03" w14:textId="54006A85" w:rsidR="000E76B8" w:rsidRPr="003D395E" w:rsidRDefault="000E76B8" w:rsidP="000E76B8">
      <w:pPr>
        <w:autoSpaceDE w:val="0"/>
        <w:autoSpaceDN w:val="0"/>
        <w:adjustRightInd w:val="0"/>
        <w:ind w:left="360"/>
        <w:jc w:val="center"/>
        <w:rPr>
          <w:rFonts w:ascii="Times New Roman" w:hAnsi="Times New Roman" w:cs="Times New Roman"/>
          <w:b/>
          <w:sz w:val="24"/>
          <w:szCs w:val="24"/>
        </w:rPr>
      </w:pPr>
      <w:r w:rsidRPr="003D395E">
        <w:rPr>
          <w:rFonts w:ascii="Times New Roman" w:hAnsi="Times New Roman" w:cs="Times New Roman"/>
          <w:b/>
          <w:sz w:val="24"/>
          <w:szCs w:val="24"/>
        </w:rPr>
        <w:t>PROJECT NO. 491</w:t>
      </w:r>
      <w:r w:rsidR="00953A50" w:rsidRPr="003D395E">
        <w:rPr>
          <w:rFonts w:ascii="Times New Roman" w:hAnsi="Times New Roman" w:cs="Times New Roman"/>
          <w:b/>
          <w:sz w:val="24"/>
          <w:szCs w:val="24"/>
        </w:rPr>
        <w:t>25</w:t>
      </w:r>
    </w:p>
    <w:p w14:paraId="62011138" w14:textId="77777777" w:rsidR="000E76B8" w:rsidRPr="003D395E" w:rsidRDefault="000E76B8" w:rsidP="000E76B8">
      <w:pPr>
        <w:autoSpaceDE w:val="0"/>
        <w:autoSpaceDN w:val="0"/>
        <w:adjustRightInd w:val="0"/>
        <w:ind w:left="360"/>
        <w:jc w:val="both"/>
        <w:rPr>
          <w:rFonts w:ascii="Times New Roman" w:hAnsi="Times New Roman" w:cs="Times New Roman"/>
          <w:b/>
          <w:sz w:val="24"/>
          <w:szCs w:val="24"/>
        </w:rPr>
      </w:pPr>
    </w:p>
    <w:tbl>
      <w:tblPr>
        <w:tblW w:w="8449" w:type="dxa"/>
        <w:jc w:val="center"/>
        <w:tblLook w:val="0000" w:firstRow="0" w:lastRow="0" w:firstColumn="0" w:lastColumn="0" w:noHBand="0" w:noVBand="0"/>
      </w:tblPr>
      <w:tblGrid>
        <w:gridCol w:w="4045"/>
        <w:gridCol w:w="391"/>
        <w:gridCol w:w="4013"/>
      </w:tblGrid>
      <w:tr w:rsidR="000E76B8" w:rsidRPr="00953A50" w14:paraId="27E7EDA7" w14:textId="77777777" w:rsidTr="00157169">
        <w:trPr>
          <w:jc w:val="center"/>
        </w:trPr>
        <w:tc>
          <w:tcPr>
            <w:tcW w:w="4045" w:type="dxa"/>
          </w:tcPr>
          <w:p w14:paraId="5DFE74D9" w14:textId="0EC6DC20" w:rsidR="000E76B8" w:rsidRPr="003D395E" w:rsidRDefault="000E76B8" w:rsidP="00157169">
            <w:pPr>
              <w:rPr>
                <w:rFonts w:ascii="Times New Roman" w:hAnsi="Times New Roman" w:cs="Times New Roman"/>
                <w:b/>
                <w:sz w:val="24"/>
                <w:szCs w:val="24"/>
              </w:rPr>
            </w:pPr>
            <w:r w:rsidRPr="003D395E">
              <w:rPr>
                <w:rFonts w:ascii="Times New Roman" w:hAnsi="Times New Roman" w:cs="Times New Roman"/>
                <w:b/>
                <w:sz w:val="24"/>
                <w:szCs w:val="24"/>
              </w:rPr>
              <w:t>R</w:t>
            </w:r>
            <w:r w:rsidR="00953A50" w:rsidRPr="003D395E">
              <w:rPr>
                <w:rFonts w:ascii="Times New Roman" w:hAnsi="Times New Roman" w:cs="Times New Roman"/>
                <w:b/>
                <w:sz w:val="24"/>
                <w:szCs w:val="24"/>
              </w:rPr>
              <w:t>EVIEW OF ISSUES RELATING TO ELECTRIC VEHICLES</w:t>
            </w:r>
          </w:p>
        </w:tc>
        <w:tc>
          <w:tcPr>
            <w:tcW w:w="391" w:type="dxa"/>
          </w:tcPr>
          <w:p w14:paraId="05D58B11" w14:textId="77777777" w:rsidR="000E76B8" w:rsidRPr="003D395E" w:rsidRDefault="000E76B8" w:rsidP="003D395E">
            <w:pPr>
              <w:spacing w:after="0" w:line="240" w:lineRule="auto"/>
              <w:jc w:val="center"/>
              <w:rPr>
                <w:rFonts w:ascii="Times New Roman" w:hAnsi="Times New Roman" w:cs="Times New Roman"/>
                <w:b/>
                <w:sz w:val="24"/>
                <w:szCs w:val="24"/>
              </w:rPr>
            </w:pPr>
            <w:bookmarkStart w:id="0" w:name="OLE_LINK1"/>
            <w:r w:rsidRPr="003D395E">
              <w:rPr>
                <w:rFonts w:ascii="Times New Roman" w:hAnsi="Times New Roman" w:cs="Times New Roman"/>
                <w:b/>
                <w:sz w:val="24"/>
                <w:szCs w:val="24"/>
              </w:rPr>
              <w:t>§</w:t>
            </w:r>
          </w:p>
          <w:p w14:paraId="6C44C3AB" w14:textId="77777777" w:rsidR="000E76B8" w:rsidRPr="003D395E" w:rsidRDefault="000E76B8" w:rsidP="003D395E">
            <w:pPr>
              <w:spacing w:after="0" w:line="240" w:lineRule="auto"/>
              <w:jc w:val="center"/>
              <w:rPr>
                <w:rFonts w:ascii="Times New Roman" w:hAnsi="Times New Roman" w:cs="Times New Roman"/>
                <w:b/>
                <w:sz w:val="24"/>
                <w:szCs w:val="24"/>
              </w:rPr>
            </w:pPr>
            <w:r w:rsidRPr="003D395E">
              <w:rPr>
                <w:rFonts w:ascii="Times New Roman" w:hAnsi="Times New Roman" w:cs="Times New Roman"/>
                <w:b/>
                <w:sz w:val="24"/>
                <w:szCs w:val="24"/>
              </w:rPr>
              <w:t>§</w:t>
            </w:r>
            <w:bookmarkEnd w:id="0"/>
          </w:p>
          <w:p w14:paraId="251375AD" w14:textId="77777777" w:rsidR="000E76B8" w:rsidRPr="003D395E" w:rsidRDefault="000E76B8" w:rsidP="00157169">
            <w:pPr>
              <w:jc w:val="center"/>
              <w:rPr>
                <w:rFonts w:ascii="Times New Roman" w:hAnsi="Times New Roman" w:cs="Times New Roman"/>
                <w:b/>
                <w:sz w:val="24"/>
                <w:szCs w:val="24"/>
              </w:rPr>
            </w:pPr>
          </w:p>
        </w:tc>
        <w:tc>
          <w:tcPr>
            <w:tcW w:w="4013" w:type="dxa"/>
          </w:tcPr>
          <w:p w14:paraId="76963FBE" w14:textId="77777777" w:rsidR="000E76B8" w:rsidRPr="00953A50" w:rsidRDefault="000E76B8" w:rsidP="00157169">
            <w:pPr>
              <w:pStyle w:val="Heading6"/>
              <w:spacing w:before="0" w:after="0"/>
              <w:jc w:val="center"/>
              <w:rPr>
                <w:bCs w:val="0"/>
                <w:sz w:val="24"/>
                <w:szCs w:val="24"/>
              </w:rPr>
            </w:pPr>
            <w:r w:rsidRPr="00953A50">
              <w:rPr>
                <w:bCs w:val="0"/>
                <w:sz w:val="24"/>
                <w:szCs w:val="24"/>
              </w:rPr>
              <w:t>PUBLIC UTILITY COMMISSION</w:t>
            </w:r>
          </w:p>
          <w:p w14:paraId="7D184A51" w14:textId="77777777" w:rsidR="000E76B8" w:rsidRPr="00DC102A" w:rsidRDefault="000E76B8" w:rsidP="00157169">
            <w:pPr>
              <w:pStyle w:val="Caption"/>
              <w:rPr>
                <w:szCs w:val="24"/>
              </w:rPr>
            </w:pPr>
            <w:r w:rsidRPr="00DC102A">
              <w:rPr>
                <w:szCs w:val="24"/>
              </w:rPr>
              <w:t>OF TEXAS</w:t>
            </w:r>
          </w:p>
        </w:tc>
      </w:tr>
    </w:tbl>
    <w:p w14:paraId="0794ECA0" w14:textId="77777777" w:rsidR="000E76B8" w:rsidRPr="003D395E" w:rsidRDefault="000E76B8" w:rsidP="000E76B8">
      <w:pPr>
        <w:autoSpaceDE w:val="0"/>
        <w:autoSpaceDN w:val="0"/>
        <w:adjustRightInd w:val="0"/>
        <w:ind w:left="360"/>
        <w:jc w:val="both"/>
        <w:rPr>
          <w:rFonts w:ascii="Times New Roman" w:hAnsi="Times New Roman" w:cs="Times New Roman"/>
          <w:b/>
          <w:sz w:val="24"/>
          <w:szCs w:val="24"/>
        </w:rPr>
      </w:pPr>
    </w:p>
    <w:p w14:paraId="77465824" w14:textId="7EE7D118" w:rsidR="000E76B8" w:rsidRPr="003D395E" w:rsidRDefault="000E76B8" w:rsidP="00A61ABA">
      <w:pPr>
        <w:autoSpaceDE w:val="0"/>
        <w:autoSpaceDN w:val="0"/>
        <w:adjustRightInd w:val="0"/>
        <w:spacing w:after="240" w:line="240" w:lineRule="auto"/>
        <w:ind w:left="360"/>
        <w:jc w:val="center"/>
        <w:rPr>
          <w:rFonts w:ascii="Times New Roman" w:hAnsi="Times New Roman" w:cs="Times New Roman"/>
          <w:b/>
          <w:sz w:val="24"/>
          <w:szCs w:val="24"/>
          <w:u w:val="single"/>
        </w:rPr>
      </w:pPr>
      <w:r w:rsidRPr="003D395E">
        <w:rPr>
          <w:rFonts w:ascii="Times New Roman" w:hAnsi="Times New Roman" w:cs="Times New Roman"/>
          <w:b/>
          <w:sz w:val="24"/>
          <w:szCs w:val="24"/>
          <w:u w:val="single"/>
        </w:rPr>
        <w:t xml:space="preserve">COMMENTS OF </w:t>
      </w:r>
      <w:r w:rsidR="00953A50" w:rsidRPr="003D395E">
        <w:rPr>
          <w:rFonts w:ascii="Times New Roman" w:hAnsi="Times New Roman" w:cs="Times New Roman"/>
          <w:b/>
          <w:sz w:val="24"/>
          <w:szCs w:val="24"/>
          <w:u w:val="single"/>
        </w:rPr>
        <w:t xml:space="preserve">ENTERGY TEXAS, INC. </w:t>
      </w:r>
    </w:p>
    <w:p w14:paraId="29CAF125" w14:textId="7BEA3CBB" w:rsidR="009F448F" w:rsidRPr="003D395E" w:rsidRDefault="009F448F" w:rsidP="00A61ABA">
      <w:pPr>
        <w:pStyle w:val="ListParagraph"/>
        <w:numPr>
          <w:ilvl w:val="0"/>
          <w:numId w:val="4"/>
        </w:numPr>
        <w:spacing w:after="240" w:line="240" w:lineRule="auto"/>
        <w:contextualSpacing w:val="0"/>
        <w:jc w:val="center"/>
        <w:rPr>
          <w:rFonts w:ascii="Times New Roman" w:hAnsi="Times New Roman" w:cs="Times New Roman"/>
          <w:b/>
          <w:sz w:val="24"/>
          <w:szCs w:val="24"/>
        </w:rPr>
      </w:pPr>
      <w:r w:rsidRPr="003D395E">
        <w:rPr>
          <w:rFonts w:ascii="Times New Roman" w:hAnsi="Times New Roman" w:cs="Times New Roman"/>
          <w:b/>
          <w:sz w:val="24"/>
          <w:szCs w:val="24"/>
        </w:rPr>
        <w:t>Introduction</w:t>
      </w:r>
    </w:p>
    <w:p w14:paraId="69A8F02F" w14:textId="3CA334C1" w:rsidR="001B23C5" w:rsidRPr="003D395E" w:rsidRDefault="00953A50" w:rsidP="00F16D40">
      <w:pPr>
        <w:spacing w:after="0" w:line="480" w:lineRule="auto"/>
        <w:ind w:firstLine="720"/>
        <w:jc w:val="both"/>
        <w:rPr>
          <w:rFonts w:ascii="Times New Roman" w:hAnsi="Times New Roman" w:cs="Times New Roman"/>
          <w:sz w:val="24"/>
          <w:szCs w:val="24"/>
        </w:rPr>
      </w:pPr>
      <w:r w:rsidRPr="003D395E">
        <w:rPr>
          <w:rFonts w:ascii="Times New Roman" w:hAnsi="Times New Roman" w:cs="Times New Roman"/>
          <w:sz w:val="24"/>
          <w:szCs w:val="24"/>
        </w:rPr>
        <w:t xml:space="preserve">On </w:t>
      </w:r>
      <w:r w:rsidR="001D412A">
        <w:rPr>
          <w:rFonts w:ascii="Times New Roman" w:hAnsi="Times New Roman" w:cs="Times New Roman"/>
          <w:sz w:val="24"/>
          <w:szCs w:val="24"/>
        </w:rPr>
        <w:t>July 31</w:t>
      </w:r>
      <w:r w:rsidRPr="003D395E">
        <w:rPr>
          <w:rFonts w:ascii="Times New Roman" w:hAnsi="Times New Roman" w:cs="Times New Roman"/>
          <w:sz w:val="24"/>
          <w:szCs w:val="24"/>
        </w:rPr>
        <w:t>, 20</w:t>
      </w:r>
      <w:r w:rsidR="001D412A">
        <w:rPr>
          <w:rFonts w:ascii="Times New Roman" w:hAnsi="Times New Roman" w:cs="Times New Roman"/>
          <w:sz w:val="24"/>
          <w:szCs w:val="24"/>
        </w:rPr>
        <w:t>20</w:t>
      </w:r>
      <w:r w:rsidRPr="003D395E">
        <w:rPr>
          <w:rFonts w:ascii="Times New Roman" w:hAnsi="Times New Roman" w:cs="Times New Roman"/>
          <w:sz w:val="24"/>
          <w:szCs w:val="24"/>
        </w:rPr>
        <w:t>, the staff of the Public Utility Commission of Texas (</w:t>
      </w:r>
      <w:r w:rsidR="003D395E" w:rsidRPr="003D395E">
        <w:rPr>
          <w:rFonts w:ascii="Times New Roman" w:hAnsi="Times New Roman" w:cs="Times New Roman"/>
          <w:sz w:val="24"/>
          <w:szCs w:val="24"/>
        </w:rPr>
        <w:t>“</w:t>
      </w:r>
      <w:r w:rsidRPr="003D395E">
        <w:rPr>
          <w:rFonts w:ascii="Times New Roman" w:hAnsi="Times New Roman" w:cs="Times New Roman"/>
          <w:sz w:val="24"/>
          <w:szCs w:val="24"/>
        </w:rPr>
        <w:t>PUCT</w:t>
      </w:r>
      <w:r w:rsidR="003D395E" w:rsidRPr="003D395E">
        <w:rPr>
          <w:rFonts w:ascii="Times New Roman" w:hAnsi="Times New Roman" w:cs="Times New Roman"/>
          <w:sz w:val="24"/>
          <w:szCs w:val="24"/>
        </w:rPr>
        <w:t>”</w:t>
      </w:r>
      <w:r w:rsidRPr="003D395E">
        <w:rPr>
          <w:rFonts w:ascii="Times New Roman" w:hAnsi="Times New Roman" w:cs="Times New Roman"/>
          <w:sz w:val="24"/>
          <w:szCs w:val="24"/>
        </w:rPr>
        <w:t xml:space="preserve"> or </w:t>
      </w:r>
      <w:r w:rsidR="003D395E" w:rsidRPr="003D395E">
        <w:rPr>
          <w:rFonts w:ascii="Times New Roman" w:hAnsi="Times New Roman" w:cs="Times New Roman"/>
          <w:sz w:val="24"/>
          <w:szCs w:val="24"/>
        </w:rPr>
        <w:t>“</w:t>
      </w:r>
      <w:r w:rsidRPr="003D395E">
        <w:rPr>
          <w:rFonts w:ascii="Times New Roman" w:hAnsi="Times New Roman" w:cs="Times New Roman"/>
          <w:sz w:val="24"/>
          <w:szCs w:val="24"/>
        </w:rPr>
        <w:t>Commission</w:t>
      </w:r>
      <w:r w:rsidR="003D395E" w:rsidRPr="003D395E">
        <w:rPr>
          <w:rFonts w:ascii="Times New Roman" w:hAnsi="Times New Roman" w:cs="Times New Roman"/>
          <w:sz w:val="24"/>
          <w:szCs w:val="24"/>
        </w:rPr>
        <w:t>”</w:t>
      </w:r>
      <w:r w:rsidRPr="003D395E">
        <w:rPr>
          <w:rFonts w:ascii="Times New Roman" w:hAnsi="Times New Roman" w:cs="Times New Roman"/>
          <w:sz w:val="24"/>
          <w:szCs w:val="24"/>
        </w:rPr>
        <w:t>) requested comments on questions in the aforementioned project.  Entergy Texas, Inc. (“ETI” or “The Company”) provides the responses below as an overview of the general data available to the Company</w:t>
      </w:r>
      <w:r w:rsidR="00DC102A" w:rsidRPr="003D395E">
        <w:rPr>
          <w:rFonts w:ascii="Times New Roman" w:hAnsi="Times New Roman" w:cs="Times New Roman"/>
          <w:sz w:val="24"/>
          <w:szCs w:val="24"/>
        </w:rPr>
        <w:t xml:space="preserve"> concerning electric vehicles</w:t>
      </w:r>
      <w:r w:rsidRPr="003D395E">
        <w:rPr>
          <w:rFonts w:ascii="Times New Roman" w:hAnsi="Times New Roman" w:cs="Times New Roman"/>
          <w:sz w:val="24"/>
          <w:szCs w:val="24"/>
        </w:rPr>
        <w:t xml:space="preserve">.  </w:t>
      </w:r>
    </w:p>
    <w:p w14:paraId="59FEB8AD" w14:textId="0D77AFB8" w:rsidR="002B3B2B" w:rsidRDefault="006E56C5" w:rsidP="002B3B2B">
      <w:pPr>
        <w:pStyle w:val="ListParagraph"/>
        <w:numPr>
          <w:ilvl w:val="0"/>
          <w:numId w:val="4"/>
        </w:numPr>
        <w:spacing w:after="240" w:line="240" w:lineRule="auto"/>
        <w:jc w:val="center"/>
        <w:rPr>
          <w:rFonts w:ascii="Times New Roman" w:hAnsi="Times New Roman" w:cs="Times New Roman"/>
          <w:b/>
          <w:sz w:val="24"/>
          <w:szCs w:val="24"/>
        </w:rPr>
      </w:pPr>
      <w:r w:rsidRPr="006E56C5">
        <w:rPr>
          <w:rFonts w:ascii="Times New Roman" w:hAnsi="Times New Roman" w:cs="Times New Roman"/>
          <w:b/>
          <w:sz w:val="24"/>
          <w:szCs w:val="24"/>
        </w:rPr>
        <w:t>Responses to PUCT Questions</w:t>
      </w:r>
    </w:p>
    <w:p w14:paraId="439CDECA" w14:textId="77777777" w:rsidR="0004193C" w:rsidRDefault="0004193C" w:rsidP="0004193C">
      <w:pPr>
        <w:pStyle w:val="ListParagraph"/>
        <w:spacing w:after="240" w:line="240" w:lineRule="auto"/>
        <w:ind w:left="1080"/>
        <w:rPr>
          <w:rFonts w:ascii="Times New Roman" w:hAnsi="Times New Roman" w:cs="Times New Roman"/>
          <w:b/>
          <w:sz w:val="24"/>
          <w:szCs w:val="24"/>
        </w:rPr>
      </w:pPr>
    </w:p>
    <w:p w14:paraId="16D0975C" w14:textId="03E633C6" w:rsidR="00A650B3" w:rsidRDefault="006E56C5" w:rsidP="0051424E">
      <w:pPr>
        <w:pStyle w:val="ListParagraph"/>
        <w:numPr>
          <w:ilvl w:val="0"/>
          <w:numId w:val="5"/>
        </w:numPr>
        <w:spacing w:line="252" w:lineRule="auto"/>
        <w:jc w:val="both"/>
        <w:rPr>
          <w:rFonts w:ascii="Times New Roman" w:hAnsi="Times New Roman" w:cs="Times New Roman"/>
          <w:b/>
          <w:sz w:val="24"/>
          <w:szCs w:val="24"/>
        </w:rPr>
      </w:pPr>
      <w:r w:rsidRPr="006E56C5">
        <w:rPr>
          <w:rFonts w:ascii="Times New Roman" w:hAnsi="Times New Roman" w:cs="Times New Roman"/>
          <w:b/>
          <w:sz w:val="24"/>
          <w:szCs w:val="24"/>
        </w:rPr>
        <w:t>As a matter of policy, which entity or entities should be permitted to own or operate an electric vehicle charging station in the Texas competitive electric market?</w:t>
      </w:r>
      <w:r w:rsidR="0002002E">
        <w:rPr>
          <w:rFonts w:ascii="Times New Roman" w:hAnsi="Times New Roman" w:cs="Times New Roman"/>
          <w:b/>
          <w:sz w:val="24"/>
          <w:szCs w:val="24"/>
        </w:rPr>
        <w:t xml:space="preserve"> </w:t>
      </w:r>
      <w:r w:rsidRPr="006E56C5">
        <w:rPr>
          <w:rFonts w:ascii="Times New Roman" w:hAnsi="Times New Roman" w:cs="Times New Roman"/>
          <w:b/>
          <w:sz w:val="24"/>
          <w:szCs w:val="24"/>
        </w:rPr>
        <w:t xml:space="preserve"> Is a different ownership structure appropriate for service areas not open to retail competition?</w:t>
      </w:r>
    </w:p>
    <w:p w14:paraId="71472111" w14:textId="3F02399B" w:rsidR="006E56C5" w:rsidRPr="00F02BB0" w:rsidRDefault="003839AA" w:rsidP="0051424E">
      <w:pPr>
        <w:spacing w:line="252" w:lineRule="auto"/>
        <w:ind w:left="360"/>
        <w:jc w:val="both"/>
        <w:rPr>
          <w:rFonts w:ascii="Times New Roman" w:hAnsi="Times New Roman" w:cs="Times New Roman"/>
          <w:bCs/>
          <w:sz w:val="24"/>
          <w:szCs w:val="24"/>
        </w:rPr>
      </w:pPr>
      <w:r>
        <w:rPr>
          <w:rFonts w:ascii="Times New Roman" w:hAnsi="Times New Roman" w:cs="Times New Roman"/>
          <w:bCs/>
          <w:sz w:val="24"/>
          <w:szCs w:val="24"/>
        </w:rPr>
        <w:t>In</w:t>
      </w:r>
      <w:r w:rsidR="00A650B3" w:rsidRPr="00F02BB0">
        <w:rPr>
          <w:rFonts w:ascii="Times New Roman" w:hAnsi="Times New Roman" w:cs="Times New Roman"/>
          <w:bCs/>
          <w:sz w:val="24"/>
          <w:szCs w:val="24"/>
        </w:rPr>
        <w:t xml:space="preserve"> areas not open to retail competition, </w:t>
      </w:r>
      <w:r w:rsidR="00C624A7">
        <w:rPr>
          <w:rFonts w:ascii="Times New Roman" w:hAnsi="Times New Roman" w:cs="Times New Roman"/>
          <w:bCs/>
          <w:sz w:val="24"/>
          <w:szCs w:val="24"/>
        </w:rPr>
        <w:t>both the electric utility and third parties</w:t>
      </w:r>
      <w:r w:rsidR="00C624A7" w:rsidRPr="00F02BB0">
        <w:rPr>
          <w:rFonts w:ascii="Times New Roman" w:hAnsi="Times New Roman" w:cs="Times New Roman"/>
          <w:bCs/>
          <w:sz w:val="24"/>
          <w:szCs w:val="24"/>
        </w:rPr>
        <w:t xml:space="preserve"> </w:t>
      </w:r>
      <w:r w:rsidR="00A650B3" w:rsidRPr="00F02BB0">
        <w:rPr>
          <w:rFonts w:ascii="Times New Roman" w:hAnsi="Times New Roman" w:cs="Times New Roman"/>
          <w:bCs/>
          <w:sz w:val="24"/>
          <w:szCs w:val="24"/>
        </w:rPr>
        <w:t xml:space="preserve">should be permitted to </w:t>
      </w:r>
      <w:r w:rsidR="00F02BB0" w:rsidRPr="00F02BB0">
        <w:rPr>
          <w:rFonts w:ascii="Times New Roman" w:hAnsi="Times New Roman" w:cs="Times New Roman"/>
          <w:bCs/>
          <w:sz w:val="24"/>
          <w:szCs w:val="24"/>
        </w:rPr>
        <w:t xml:space="preserve">own </w:t>
      </w:r>
      <w:r w:rsidR="00283977">
        <w:rPr>
          <w:rFonts w:ascii="Times New Roman" w:hAnsi="Times New Roman" w:cs="Times New Roman"/>
          <w:bCs/>
          <w:sz w:val="24"/>
          <w:szCs w:val="24"/>
        </w:rPr>
        <w:t>and/</w:t>
      </w:r>
      <w:r w:rsidR="00F02BB0" w:rsidRPr="00F02BB0">
        <w:rPr>
          <w:rFonts w:ascii="Times New Roman" w:hAnsi="Times New Roman" w:cs="Times New Roman"/>
          <w:bCs/>
          <w:sz w:val="24"/>
          <w:szCs w:val="24"/>
        </w:rPr>
        <w:t>or operate electric vehicle charging station</w:t>
      </w:r>
      <w:r w:rsidR="00DE39FF">
        <w:rPr>
          <w:rFonts w:ascii="Times New Roman" w:hAnsi="Times New Roman" w:cs="Times New Roman"/>
          <w:bCs/>
          <w:sz w:val="24"/>
          <w:szCs w:val="24"/>
        </w:rPr>
        <w:t>s</w:t>
      </w:r>
      <w:r w:rsidR="00283977">
        <w:rPr>
          <w:rFonts w:ascii="Times New Roman" w:hAnsi="Times New Roman" w:cs="Times New Roman"/>
          <w:bCs/>
          <w:sz w:val="24"/>
          <w:szCs w:val="24"/>
        </w:rPr>
        <w:t xml:space="preserve"> for public use and compensation</w:t>
      </w:r>
      <w:r w:rsidR="00C624A7">
        <w:rPr>
          <w:rFonts w:ascii="Times New Roman" w:hAnsi="Times New Roman" w:cs="Times New Roman"/>
          <w:bCs/>
          <w:sz w:val="24"/>
          <w:szCs w:val="24"/>
        </w:rPr>
        <w:t xml:space="preserve">, provided that </w:t>
      </w:r>
      <w:r w:rsidR="00283977">
        <w:rPr>
          <w:rFonts w:ascii="Times New Roman" w:hAnsi="Times New Roman" w:cs="Times New Roman"/>
          <w:bCs/>
          <w:sz w:val="24"/>
          <w:szCs w:val="24"/>
        </w:rPr>
        <w:t>any</w:t>
      </w:r>
      <w:r w:rsidR="00C624A7">
        <w:rPr>
          <w:rFonts w:ascii="Times New Roman" w:hAnsi="Times New Roman" w:cs="Times New Roman"/>
          <w:bCs/>
          <w:sz w:val="24"/>
          <w:szCs w:val="24"/>
        </w:rPr>
        <w:t xml:space="preserve"> third-party</w:t>
      </w:r>
      <w:r w:rsidR="00021381">
        <w:rPr>
          <w:rFonts w:ascii="Times New Roman" w:hAnsi="Times New Roman" w:cs="Times New Roman"/>
          <w:bCs/>
          <w:sz w:val="24"/>
          <w:szCs w:val="24"/>
        </w:rPr>
        <w:t xml:space="preserve"> owning </w:t>
      </w:r>
      <w:r w:rsidR="00283977">
        <w:rPr>
          <w:rFonts w:ascii="Times New Roman" w:hAnsi="Times New Roman" w:cs="Times New Roman"/>
          <w:bCs/>
          <w:sz w:val="24"/>
          <w:szCs w:val="24"/>
        </w:rPr>
        <w:t>and/</w:t>
      </w:r>
      <w:r w:rsidR="00021381">
        <w:rPr>
          <w:rFonts w:ascii="Times New Roman" w:hAnsi="Times New Roman" w:cs="Times New Roman"/>
          <w:bCs/>
          <w:sz w:val="24"/>
          <w:szCs w:val="24"/>
        </w:rPr>
        <w:t xml:space="preserve">or operating electric vehicle charging stations </w:t>
      </w:r>
      <w:r w:rsidR="00F861F3">
        <w:rPr>
          <w:rFonts w:ascii="Times New Roman" w:hAnsi="Times New Roman" w:cs="Times New Roman"/>
          <w:bCs/>
          <w:sz w:val="24"/>
          <w:szCs w:val="24"/>
        </w:rPr>
        <w:t xml:space="preserve">is required to </w:t>
      </w:r>
      <w:r w:rsidR="00021381">
        <w:rPr>
          <w:rFonts w:ascii="Times New Roman" w:hAnsi="Times New Roman" w:cs="Times New Roman"/>
          <w:bCs/>
          <w:sz w:val="24"/>
          <w:szCs w:val="24"/>
        </w:rPr>
        <w:t>purchase</w:t>
      </w:r>
      <w:r w:rsidR="00F861F3">
        <w:rPr>
          <w:rFonts w:ascii="Times New Roman" w:hAnsi="Times New Roman" w:cs="Times New Roman"/>
          <w:bCs/>
          <w:sz w:val="24"/>
          <w:szCs w:val="24"/>
        </w:rPr>
        <w:t xml:space="preserve"> from the electric utility holding the certificate of convenience and necessity (or other right to serve the specific area in which the electric vehicle charging station is located)</w:t>
      </w:r>
      <w:r w:rsidR="00021381">
        <w:rPr>
          <w:rFonts w:ascii="Times New Roman" w:hAnsi="Times New Roman" w:cs="Times New Roman"/>
          <w:bCs/>
          <w:sz w:val="24"/>
          <w:szCs w:val="24"/>
        </w:rPr>
        <w:t xml:space="preserve"> </w:t>
      </w:r>
      <w:r>
        <w:rPr>
          <w:rFonts w:ascii="Times New Roman" w:hAnsi="Times New Roman" w:cs="Times New Roman"/>
          <w:bCs/>
          <w:sz w:val="24"/>
          <w:szCs w:val="24"/>
        </w:rPr>
        <w:t xml:space="preserve">one hundred </w:t>
      </w:r>
      <w:r w:rsidR="00281AD8">
        <w:rPr>
          <w:rFonts w:ascii="Times New Roman" w:hAnsi="Times New Roman" w:cs="Times New Roman"/>
          <w:bCs/>
          <w:sz w:val="24"/>
          <w:szCs w:val="24"/>
        </w:rPr>
        <w:t>percent</w:t>
      </w:r>
      <w:r>
        <w:rPr>
          <w:rFonts w:ascii="Times New Roman" w:hAnsi="Times New Roman" w:cs="Times New Roman"/>
          <w:bCs/>
          <w:sz w:val="24"/>
          <w:szCs w:val="24"/>
        </w:rPr>
        <w:t xml:space="preserve"> (</w:t>
      </w:r>
      <w:r w:rsidR="00021381">
        <w:rPr>
          <w:rFonts w:ascii="Times New Roman" w:hAnsi="Times New Roman" w:cs="Times New Roman"/>
          <w:bCs/>
          <w:sz w:val="24"/>
          <w:szCs w:val="24"/>
        </w:rPr>
        <w:t>100%</w:t>
      </w:r>
      <w:r>
        <w:rPr>
          <w:rFonts w:ascii="Times New Roman" w:hAnsi="Times New Roman" w:cs="Times New Roman"/>
          <w:bCs/>
          <w:sz w:val="24"/>
          <w:szCs w:val="24"/>
        </w:rPr>
        <w:t>)</w:t>
      </w:r>
      <w:r w:rsidR="00021381">
        <w:rPr>
          <w:rFonts w:ascii="Times New Roman" w:hAnsi="Times New Roman" w:cs="Times New Roman"/>
          <w:bCs/>
          <w:sz w:val="24"/>
          <w:szCs w:val="24"/>
        </w:rPr>
        <w:t xml:space="preserve"> of the electric power supplied by the electric vehicle charging station</w:t>
      </w:r>
      <w:r w:rsidR="00F861F3">
        <w:rPr>
          <w:rFonts w:ascii="Times New Roman" w:hAnsi="Times New Roman" w:cs="Times New Roman"/>
          <w:bCs/>
          <w:sz w:val="24"/>
          <w:szCs w:val="24"/>
        </w:rPr>
        <w:t>.</w:t>
      </w:r>
    </w:p>
    <w:p w14:paraId="3486368E" w14:textId="77777777" w:rsidR="006E56C5" w:rsidRPr="006E56C5" w:rsidRDefault="006E56C5" w:rsidP="006E56C5">
      <w:pPr>
        <w:spacing w:line="252" w:lineRule="auto"/>
        <w:rPr>
          <w:rFonts w:ascii="Times New Roman" w:hAnsi="Times New Roman" w:cs="Times New Roman"/>
          <w:b/>
          <w:sz w:val="24"/>
          <w:szCs w:val="24"/>
        </w:rPr>
      </w:pPr>
    </w:p>
    <w:p w14:paraId="45F729F2" w14:textId="77777777" w:rsidR="009C6A45" w:rsidRDefault="006E56C5" w:rsidP="006E56C5">
      <w:pPr>
        <w:pStyle w:val="ListParagraph"/>
        <w:numPr>
          <w:ilvl w:val="0"/>
          <w:numId w:val="5"/>
        </w:numPr>
        <w:spacing w:line="252" w:lineRule="auto"/>
        <w:rPr>
          <w:rFonts w:ascii="Times New Roman" w:hAnsi="Times New Roman" w:cs="Times New Roman"/>
          <w:b/>
          <w:sz w:val="24"/>
          <w:szCs w:val="24"/>
        </w:rPr>
      </w:pPr>
      <w:r w:rsidRPr="006E56C5">
        <w:rPr>
          <w:rFonts w:ascii="Times New Roman" w:hAnsi="Times New Roman" w:cs="Times New Roman"/>
          <w:b/>
          <w:sz w:val="24"/>
          <w:szCs w:val="24"/>
        </w:rPr>
        <w:t>Is the operation of an electric vehicle charging station a retail sale of electricity?</w:t>
      </w:r>
    </w:p>
    <w:p w14:paraId="22C0E0F9" w14:textId="780FD0CF" w:rsidR="008E188A" w:rsidRDefault="008E188A" w:rsidP="00A62699">
      <w:pPr>
        <w:spacing w:line="252" w:lineRule="auto"/>
        <w:ind w:left="360"/>
        <w:jc w:val="both"/>
        <w:rPr>
          <w:rFonts w:ascii="Times New Roman" w:hAnsi="Times New Roman" w:cs="Times New Roman"/>
          <w:bCs/>
          <w:sz w:val="24"/>
          <w:szCs w:val="24"/>
        </w:rPr>
      </w:pPr>
      <w:r w:rsidRPr="008E188A">
        <w:rPr>
          <w:rFonts w:ascii="Times New Roman" w:hAnsi="Times New Roman" w:cs="Times New Roman"/>
          <w:bCs/>
          <w:sz w:val="24"/>
          <w:szCs w:val="24"/>
        </w:rPr>
        <w:t xml:space="preserve">If the owner of the electric vehicle charging station is an electric utility, then the exchange of power </w:t>
      </w:r>
      <w:r w:rsidR="008C04D8">
        <w:rPr>
          <w:rFonts w:ascii="Times New Roman" w:hAnsi="Times New Roman" w:cs="Times New Roman"/>
          <w:bCs/>
          <w:sz w:val="24"/>
          <w:szCs w:val="24"/>
        </w:rPr>
        <w:t xml:space="preserve">(for compensation) </w:t>
      </w:r>
      <w:r w:rsidRPr="008E188A">
        <w:rPr>
          <w:rFonts w:ascii="Times New Roman" w:hAnsi="Times New Roman" w:cs="Times New Roman"/>
          <w:bCs/>
          <w:sz w:val="24"/>
          <w:szCs w:val="24"/>
        </w:rPr>
        <w:t>between the electric vehicle charg</w:t>
      </w:r>
      <w:r w:rsidR="008C04D8">
        <w:rPr>
          <w:rFonts w:ascii="Times New Roman" w:hAnsi="Times New Roman" w:cs="Times New Roman"/>
          <w:bCs/>
          <w:sz w:val="24"/>
          <w:szCs w:val="24"/>
        </w:rPr>
        <w:t>ing station</w:t>
      </w:r>
      <w:r w:rsidRPr="008E188A">
        <w:rPr>
          <w:rFonts w:ascii="Times New Roman" w:hAnsi="Times New Roman" w:cs="Times New Roman"/>
          <w:bCs/>
          <w:sz w:val="24"/>
          <w:szCs w:val="24"/>
        </w:rPr>
        <w:t xml:space="preserve"> and the </w:t>
      </w:r>
      <w:r w:rsidR="00283977">
        <w:rPr>
          <w:rFonts w:ascii="Times New Roman" w:hAnsi="Times New Roman" w:cs="Times New Roman"/>
          <w:bCs/>
          <w:sz w:val="24"/>
          <w:szCs w:val="24"/>
        </w:rPr>
        <w:t>owner</w:t>
      </w:r>
      <w:r w:rsidR="008C04D8">
        <w:rPr>
          <w:rFonts w:ascii="Times New Roman" w:hAnsi="Times New Roman" w:cs="Times New Roman"/>
          <w:bCs/>
          <w:sz w:val="24"/>
          <w:szCs w:val="24"/>
        </w:rPr>
        <w:t>/operator</w:t>
      </w:r>
      <w:r w:rsidR="00283977">
        <w:rPr>
          <w:rFonts w:ascii="Times New Roman" w:hAnsi="Times New Roman" w:cs="Times New Roman"/>
          <w:bCs/>
          <w:sz w:val="24"/>
          <w:szCs w:val="24"/>
        </w:rPr>
        <w:t xml:space="preserve"> of the </w:t>
      </w:r>
      <w:r w:rsidRPr="008E188A">
        <w:rPr>
          <w:rFonts w:ascii="Times New Roman" w:hAnsi="Times New Roman" w:cs="Times New Roman"/>
          <w:bCs/>
          <w:sz w:val="24"/>
          <w:szCs w:val="24"/>
        </w:rPr>
        <w:t>electric vehicle</w:t>
      </w:r>
      <w:r w:rsidR="00283977">
        <w:rPr>
          <w:rFonts w:ascii="Times New Roman" w:hAnsi="Times New Roman" w:cs="Times New Roman"/>
          <w:bCs/>
          <w:sz w:val="24"/>
          <w:szCs w:val="24"/>
        </w:rPr>
        <w:t xml:space="preserve"> </w:t>
      </w:r>
      <w:r w:rsidRPr="008E188A">
        <w:rPr>
          <w:rFonts w:ascii="Times New Roman" w:hAnsi="Times New Roman" w:cs="Times New Roman"/>
          <w:bCs/>
          <w:sz w:val="24"/>
          <w:szCs w:val="24"/>
        </w:rPr>
        <w:t>is a retail sale of electricity.  If</w:t>
      </w:r>
      <w:r w:rsidR="00283977">
        <w:rPr>
          <w:rFonts w:ascii="Times New Roman" w:hAnsi="Times New Roman" w:cs="Times New Roman"/>
          <w:bCs/>
          <w:sz w:val="24"/>
          <w:szCs w:val="24"/>
        </w:rPr>
        <w:t>, instead,</w:t>
      </w:r>
      <w:r w:rsidRPr="008E188A">
        <w:rPr>
          <w:rFonts w:ascii="Times New Roman" w:hAnsi="Times New Roman" w:cs="Times New Roman"/>
          <w:bCs/>
          <w:sz w:val="24"/>
          <w:szCs w:val="24"/>
        </w:rPr>
        <w:t xml:space="preserve"> the owner of the electric vehicle charging station is not an electric utility, </w:t>
      </w:r>
      <w:r w:rsidR="00C370C1">
        <w:rPr>
          <w:rFonts w:ascii="Times New Roman" w:hAnsi="Times New Roman" w:cs="Times New Roman"/>
          <w:bCs/>
          <w:sz w:val="24"/>
          <w:szCs w:val="24"/>
        </w:rPr>
        <w:t>then the provision of electric vehicle charging services</w:t>
      </w:r>
      <w:r w:rsidRPr="008E188A">
        <w:rPr>
          <w:rFonts w:ascii="Times New Roman" w:hAnsi="Times New Roman" w:cs="Times New Roman"/>
          <w:bCs/>
          <w:sz w:val="24"/>
          <w:szCs w:val="24"/>
        </w:rPr>
        <w:t xml:space="preserve"> </w:t>
      </w:r>
      <w:r w:rsidR="00283977">
        <w:rPr>
          <w:rFonts w:ascii="Times New Roman" w:hAnsi="Times New Roman" w:cs="Times New Roman"/>
          <w:bCs/>
          <w:sz w:val="24"/>
          <w:szCs w:val="24"/>
        </w:rPr>
        <w:t xml:space="preserve">to the public </w:t>
      </w:r>
      <w:r w:rsidR="00281AD8">
        <w:rPr>
          <w:rFonts w:ascii="Times New Roman" w:hAnsi="Times New Roman" w:cs="Times New Roman"/>
          <w:bCs/>
          <w:sz w:val="24"/>
          <w:szCs w:val="24"/>
        </w:rPr>
        <w:t>(</w:t>
      </w:r>
      <w:r w:rsidR="00283977">
        <w:rPr>
          <w:rFonts w:ascii="Times New Roman" w:hAnsi="Times New Roman" w:cs="Times New Roman"/>
          <w:bCs/>
          <w:sz w:val="24"/>
          <w:szCs w:val="24"/>
        </w:rPr>
        <w:t>for compensation</w:t>
      </w:r>
      <w:r w:rsidR="00281AD8">
        <w:rPr>
          <w:rFonts w:ascii="Times New Roman" w:hAnsi="Times New Roman" w:cs="Times New Roman"/>
          <w:bCs/>
          <w:sz w:val="24"/>
          <w:szCs w:val="24"/>
        </w:rPr>
        <w:t>)</w:t>
      </w:r>
      <w:r w:rsidR="00283977">
        <w:rPr>
          <w:rFonts w:ascii="Times New Roman" w:hAnsi="Times New Roman" w:cs="Times New Roman"/>
          <w:bCs/>
          <w:sz w:val="24"/>
          <w:szCs w:val="24"/>
        </w:rPr>
        <w:t xml:space="preserve"> </w:t>
      </w:r>
      <w:r w:rsidR="00C370C1">
        <w:rPr>
          <w:rFonts w:ascii="Times New Roman" w:hAnsi="Times New Roman" w:cs="Times New Roman"/>
          <w:bCs/>
          <w:sz w:val="24"/>
          <w:szCs w:val="24"/>
        </w:rPr>
        <w:t xml:space="preserve">should </w:t>
      </w:r>
      <w:r>
        <w:rPr>
          <w:rFonts w:ascii="Times New Roman" w:hAnsi="Times New Roman" w:cs="Times New Roman"/>
          <w:bCs/>
          <w:sz w:val="24"/>
          <w:szCs w:val="24"/>
        </w:rPr>
        <w:t xml:space="preserve">not </w:t>
      </w:r>
      <w:r w:rsidR="00C370C1">
        <w:rPr>
          <w:rFonts w:ascii="Times New Roman" w:hAnsi="Times New Roman" w:cs="Times New Roman"/>
          <w:bCs/>
          <w:sz w:val="24"/>
          <w:szCs w:val="24"/>
        </w:rPr>
        <w:t xml:space="preserve">be deemed </w:t>
      </w:r>
      <w:r>
        <w:rPr>
          <w:rFonts w:ascii="Times New Roman" w:hAnsi="Times New Roman" w:cs="Times New Roman"/>
          <w:bCs/>
          <w:sz w:val="24"/>
          <w:szCs w:val="24"/>
        </w:rPr>
        <w:t xml:space="preserve">a retail sale of electricity, </w:t>
      </w:r>
      <w:r w:rsidR="008C04D8">
        <w:rPr>
          <w:rFonts w:ascii="Times New Roman" w:hAnsi="Times New Roman" w:cs="Times New Roman"/>
          <w:bCs/>
          <w:sz w:val="24"/>
          <w:szCs w:val="24"/>
        </w:rPr>
        <w:t>provided</w:t>
      </w:r>
      <w:r>
        <w:rPr>
          <w:rFonts w:ascii="Times New Roman" w:hAnsi="Times New Roman" w:cs="Times New Roman"/>
          <w:bCs/>
          <w:sz w:val="24"/>
          <w:szCs w:val="24"/>
        </w:rPr>
        <w:t xml:space="preserve"> that </w:t>
      </w:r>
      <w:r w:rsidR="008C04D8">
        <w:rPr>
          <w:rFonts w:ascii="Times New Roman" w:hAnsi="Times New Roman" w:cs="Times New Roman"/>
          <w:bCs/>
          <w:sz w:val="24"/>
          <w:szCs w:val="24"/>
        </w:rPr>
        <w:t xml:space="preserve">the </w:t>
      </w:r>
      <w:r>
        <w:rPr>
          <w:rFonts w:ascii="Times New Roman" w:hAnsi="Times New Roman" w:cs="Times New Roman"/>
          <w:bCs/>
          <w:sz w:val="24"/>
          <w:szCs w:val="24"/>
        </w:rPr>
        <w:t xml:space="preserve">entity </w:t>
      </w:r>
      <w:r w:rsidR="00283977">
        <w:rPr>
          <w:rFonts w:ascii="Times New Roman" w:hAnsi="Times New Roman" w:cs="Times New Roman"/>
          <w:bCs/>
          <w:sz w:val="24"/>
          <w:szCs w:val="24"/>
        </w:rPr>
        <w:t xml:space="preserve">providing charging services to the public for compensation </w:t>
      </w:r>
      <w:r>
        <w:rPr>
          <w:rFonts w:ascii="Times New Roman" w:hAnsi="Times New Roman" w:cs="Times New Roman"/>
          <w:bCs/>
          <w:sz w:val="24"/>
          <w:szCs w:val="24"/>
        </w:rPr>
        <w:t xml:space="preserve">purchases 100% of the electric power supplied by the electric vehicle charging station from the electric utility holding </w:t>
      </w:r>
      <w:r>
        <w:rPr>
          <w:rFonts w:ascii="Times New Roman" w:hAnsi="Times New Roman" w:cs="Times New Roman"/>
          <w:bCs/>
          <w:sz w:val="24"/>
          <w:szCs w:val="24"/>
        </w:rPr>
        <w:lastRenderedPageBreak/>
        <w:t>the certificate of convenience and necessity</w:t>
      </w:r>
      <w:r w:rsidR="008C04D8">
        <w:rPr>
          <w:rFonts w:ascii="Times New Roman" w:hAnsi="Times New Roman" w:cs="Times New Roman"/>
          <w:bCs/>
          <w:sz w:val="24"/>
          <w:szCs w:val="24"/>
        </w:rPr>
        <w:t xml:space="preserve"> (or other right to serve the specific area in which the electric vehicle charging station is located).</w:t>
      </w:r>
      <w:r w:rsidR="003263BF" w:rsidRPr="003263BF">
        <w:rPr>
          <w:rStyle w:val="FootnoteReference"/>
          <w:rFonts w:ascii="Times New Roman" w:hAnsi="Times New Roman" w:cs="Times New Roman"/>
          <w:bCs/>
          <w:sz w:val="24"/>
          <w:szCs w:val="24"/>
        </w:rPr>
        <w:t xml:space="preserve"> </w:t>
      </w:r>
      <w:r w:rsidR="003263BF">
        <w:rPr>
          <w:rStyle w:val="FootnoteReference"/>
          <w:rFonts w:ascii="Times New Roman" w:hAnsi="Times New Roman" w:cs="Times New Roman"/>
          <w:bCs/>
          <w:sz w:val="24"/>
          <w:szCs w:val="24"/>
        </w:rPr>
        <w:footnoteReference w:id="1"/>
      </w:r>
      <w:r w:rsidR="00E40C3E" w:rsidRPr="00E40C3E">
        <w:rPr>
          <w:rStyle w:val="FootnoteReference"/>
          <w:rFonts w:ascii="Times New Roman" w:hAnsi="Times New Roman" w:cs="Times New Roman"/>
          <w:bCs/>
          <w:sz w:val="24"/>
          <w:szCs w:val="24"/>
        </w:rPr>
        <w:t xml:space="preserve"> </w:t>
      </w:r>
    </w:p>
    <w:p w14:paraId="28B229BA" w14:textId="77777777" w:rsidR="002B3B2B" w:rsidRPr="00F02BB0" w:rsidRDefault="002B3B2B" w:rsidP="008E188A">
      <w:pPr>
        <w:spacing w:line="252" w:lineRule="auto"/>
        <w:ind w:left="360"/>
        <w:rPr>
          <w:rFonts w:ascii="Times New Roman" w:hAnsi="Times New Roman" w:cs="Times New Roman"/>
          <w:bCs/>
          <w:sz w:val="24"/>
          <w:szCs w:val="24"/>
        </w:rPr>
      </w:pPr>
    </w:p>
    <w:p w14:paraId="2EF76117" w14:textId="77777777" w:rsidR="009C6A45" w:rsidRDefault="006E56C5" w:rsidP="006E56C5">
      <w:pPr>
        <w:pStyle w:val="ListParagraph"/>
        <w:numPr>
          <w:ilvl w:val="0"/>
          <w:numId w:val="5"/>
        </w:numPr>
        <w:spacing w:line="252" w:lineRule="auto"/>
        <w:rPr>
          <w:rFonts w:ascii="Times New Roman" w:hAnsi="Times New Roman" w:cs="Times New Roman"/>
          <w:b/>
          <w:sz w:val="24"/>
          <w:szCs w:val="24"/>
        </w:rPr>
      </w:pPr>
      <w:r>
        <w:rPr>
          <w:rFonts w:ascii="Times New Roman" w:hAnsi="Times New Roman" w:cs="Times New Roman"/>
          <w:b/>
          <w:sz w:val="24"/>
          <w:szCs w:val="24"/>
        </w:rPr>
        <w:t>A</w:t>
      </w:r>
      <w:r w:rsidRPr="006E56C5">
        <w:rPr>
          <w:rFonts w:ascii="Times New Roman" w:hAnsi="Times New Roman" w:cs="Times New Roman"/>
          <w:b/>
          <w:sz w:val="24"/>
          <w:szCs w:val="24"/>
        </w:rPr>
        <w:t>s a matter of policy, how should the cost of the distribution system infrastructure associated with an electric vehicle charging station be recovered in the Texas competitive electric market?</w:t>
      </w:r>
    </w:p>
    <w:p w14:paraId="158B0A95" w14:textId="77777777" w:rsidR="002B3B2B" w:rsidRDefault="002B3B2B" w:rsidP="009C6A45">
      <w:pPr>
        <w:pStyle w:val="ListParagraph"/>
        <w:spacing w:line="252" w:lineRule="auto"/>
        <w:ind w:left="360"/>
        <w:rPr>
          <w:rFonts w:ascii="Times New Roman" w:hAnsi="Times New Roman" w:cs="Times New Roman"/>
          <w:bCs/>
          <w:sz w:val="24"/>
          <w:szCs w:val="24"/>
        </w:rPr>
      </w:pPr>
    </w:p>
    <w:p w14:paraId="517A2317" w14:textId="55F79139" w:rsidR="006E56C5" w:rsidRPr="009C6A45" w:rsidRDefault="009C6A45" w:rsidP="009C6A45">
      <w:pPr>
        <w:pStyle w:val="ListParagraph"/>
        <w:spacing w:line="252" w:lineRule="auto"/>
        <w:ind w:left="360"/>
        <w:rPr>
          <w:rFonts w:ascii="Times New Roman" w:hAnsi="Times New Roman" w:cs="Times New Roman"/>
          <w:bCs/>
          <w:sz w:val="24"/>
          <w:szCs w:val="24"/>
        </w:rPr>
      </w:pPr>
      <w:r w:rsidRPr="009C6A45">
        <w:rPr>
          <w:rFonts w:ascii="Times New Roman" w:hAnsi="Times New Roman" w:cs="Times New Roman"/>
          <w:bCs/>
          <w:sz w:val="24"/>
          <w:szCs w:val="24"/>
        </w:rPr>
        <w:t>ETI does not have a comment at this time.</w:t>
      </w:r>
      <w:r w:rsidR="006E56C5" w:rsidRPr="009C6A45">
        <w:rPr>
          <w:rFonts w:ascii="Times New Roman" w:hAnsi="Times New Roman" w:cs="Times New Roman"/>
          <w:bCs/>
          <w:sz w:val="24"/>
          <w:szCs w:val="24"/>
        </w:rPr>
        <w:t xml:space="preserve"> </w:t>
      </w:r>
    </w:p>
    <w:p w14:paraId="05269A3B" w14:textId="77777777" w:rsidR="00EC2A4B" w:rsidRDefault="00EC2A4B" w:rsidP="00EC2A4B">
      <w:pPr>
        <w:pStyle w:val="ListParagraph"/>
        <w:spacing w:line="252" w:lineRule="auto"/>
        <w:ind w:left="360"/>
        <w:rPr>
          <w:rFonts w:ascii="Times New Roman" w:hAnsi="Times New Roman" w:cs="Times New Roman"/>
          <w:b/>
          <w:sz w:val="24"/>
          <w:szCs w:val="24"/>
        </w:rPr>
      </w:pPr>
    </w:p>
    <w:p w14:paraId="55A0F987" w14:textId="57D489FA" w:rsidR="006E56C5" w:rsidRDefault="006E56C5" w:rsidP="00EC2A4B">
      <w:pPr>
        <w:pStyle w:val="ListParagraph"/>
        <w:numPr>
          <w:ilvl w:val="0"/>
          <w:numId w:val="5"/>
        </w:numPr>
        <w:spacing w:line="252" w:lineRule="auto"/>
        <w:rPr>
          <w:rFonts w:ascii="Times New Roman" w:hAnsi="Times New Roman" w:cs="Times New Roman"/>
          <w:b/>
          <w:sz w:val="24"/>
          <w:szCs w:val="24"/>
        </w:rPr>
      </w:pPr>
      <w:r w:rsidRPr="00EC2A4B">
        <w:rPr>
          <w:rFonts w:ascii="Times New Roman" w:hAnsi="Times New Roman" w:cs="Times New Roman"/>
          <w:b/>
          <w:sz w:val="24"/>
          <w:szCs w:val="24"/>
        </w:rPr>
        <w:t>Is the answer to Question 3 different for an electric vehicle charging station located in a remote area, primarily for use by long-distance rather than local motorists?</w:t>
      </w:r>
    </w:p>
    <w:p w14:paraId="647ECD0B" w14:textId="77777777" w:rsidR="009C6A45" w:rsidRDefault="009C6A45" w:rsidP="009C6A45">
      <w:pPr>
        <w:pStyle w:val="ListParagraph"/>
        <w:spacing w:line="252" w:lineRule="auto"/>
        <w:ind w:left="360"/>
        <w:rPr>
          <w:rFonts w:ascii="Times New Roman" w:hAnsi="Times New Roman" w:cs="Times New Roman"/>
          <w:bCs/>
          <w:sz w:val="24"/>
          <w:szCs w:val="24"/>
        </w:rPr>
      </w:pPr>
    </w:p>
    <w:p w14:paraId="36E0A3F5" w14:textId="62FED002" w:rsidR="009C6A45" w:rsidRPr="009C6A45" w:rsidRDefault="009C6A45" w:rsidP="009C6A45">
      <w:pPr>
        <w:pStyle w:val="ListParagraph"/>
        <w:spacing w:line="252" w:lineRule="auto"/>
        <w:ind w:left="360"/>
        <w:rPr>
          <w:rFonts w:ascii="Times New Roman" w:hAnsi="Times New Roman" w:cs="Times New Roman"/>
          <w:bCs/>
          <w:sz w:val="24"/>
          <w:szCs w:val="24"/>
        </w:rPr>
      </w:pPr>
      <w:r w:rsidRPr="009C6A45">
        <w:rPr>
          <w:rFonts w:ascii="Times New Roman" w:hAnsi="Times New Roman" w:cs="Times New Roman"/>
          <w:bCs/>
          <w:sz w:val="24"/>
          <w:szCs w:val="24"/>
        </w:rPr>
        <w:t xml:space="preserve">ETI does not have a comment at this time. </w:t>
      </w:r>
    </w:p>
    <w:p w14:paraId="19A52314" w14:textId="77777777" w:rsidR="009C6A45" w:rsidRPr="009C6A45" w:rsidRDefault="009C6A45" w:rsidP="009C6A45">
      <w:pPr>
        <w:spacing w:line="252" w:lineRule="auto"/>
        <w:rPr>
          <w:rFonts w:ascii="Times New Roman" w:hAnsi="Times New Roman" w:cs="Times New Roman"/>
          <w:b/>
          <w:sz w:val="24"/>
          <w:szCs w:val="24"/>
        </w:rPr>
      </w:pPr>
    </w:p>
    <w:p w14:paraId="160812EA" w14:textId="3D47168A" w:rsidR="009F448F" w:rsidRPr="00450B4D" w:rsidRDefault="00272AA3" w:rsidP="002B3B2B">
      <w:pPr>
        <w:pStyle w:val="ListParagraph"/>
        <w:numPr>
          <w:ilvl w:val="0"/>
          <w:numId w:val="4"/>
        </w:numPr>
        <w:spacing w:after="240" w:line="240" w:lineRule="auto"/>
        <w:jc w:val="center"/>
        <w:rPr>
          <w:rFonts w:ascii="Times New Roman" w:hAnsi="Times New Roman" w:cs="Times New Roman"/>
          <w:b/>
          <w:sz w:val="24"/>
          <w:szCs w:val="24"/>
        </w:rPr>
      </w:pPr>
      <w:r w:rsidRPr="00450B4D">
        <w:rPr>
          <w:rFonts w:ascii="Times New Roman" w:hAnsi="Times New Roman" w:cs="Times New Roman"/>
          <w:b/>
          <w:sz w:val="24"/>
          <w:szCs w:val="24"/>
        </w:rPr>
        <w:t>Conclusion</w:t>
      </w:r>
    </w:p>
    <w:p w14:paraId="3E2F5D74" w14:textId="1D45B73F" w:rsidR="009F448F" w:rsidRDefault="009F448F" w:rsidP="00F16D40">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ETI</w:t>
      </w:r>
      <w:r>
        <w:rPr>
          <w:rFonts w:ascii="Times New Roman" w:hAnsi="Times New Roman" w:cs="Times New Roman"/>
          <w:sz w:val="24"/>
          <w:szCs w:val="24"/>
        </w:rPr>
        <w:t xml:space="preserve"> appreciates the opportunity to provide comments for the PUCT’s consideration in this project.  The Company looks forward to further participation as this matter progresses.  </w:t>
      </w:r>
    </w:p>
    <w:p w14:paraId="21866ED0" w14:textId="77777777" w:rsidR="009F448F" w:rsidRDefault="009F448F" w:rsidP="009F448F">
      <w:pPr>
        <w:spacing w:after="0" w:line="360" w:lineRule="auto"/>
        <w:jc w:val="both"/>
        <w:rPr>
          <w:rFonts w:ascii="Times New Roman" w:eastAsia="Times New Roman" w:hAnsi="Times New Roman" w:cs="Times New Roman"/>
          <w:sz w:val="24"/>
          <w:szCs w:val="24"/>
        </w:rPr>
      </w:pPr>
    </w:p>
    <w:p w14:paraId="238D6545" w14:textId="77777777" w:rsidR="003263BF" w:rsidRDefault="003263B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D55E200" w14:textId="044ACFB7" w:rsidR="009F448F" w:rsidRPr="002A4367" w:rsidRDefault="009F448F" w:rsidP="009F448F">
      <w:pPr>
        <w:keepNext/>
        <w:tabs>
          <w:tab w:val="left" w:pos="3600"/>
        </w:tabs>
        <w:spacing w:after="0" w:line="360" w:lineRule="auto"/>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lastRenderedPageBreak/>
        <w:t>Dated:</w:t>
      </w:r>
      <w:r>
        <w:rPr>
          <w:rFonts w:ascii="Times New Roman" w:eastAsia="Times New Roman" w:hAnsi="Times New Roman" w:cs="Times New Roman"/>
          <w:sz w:val="24"/>
          <w:szCs w:val="24"/>
        </w:rPr>
        <w:t xml:space="preserve"> </w:t>
      </w:r>
      <w:bookmarkStart w:id="1" w:name="_GoBack"/>
      <w:bookmarkEnd w:id="1"/>
      <w:r w:rsidR="006E56C5">
        <w:rPr>
          <w:rFonts w:ascii="Times New Roman" w:eastAsia="Times New Roman" w:hAnsi="Times New Roman" w:cs="Times New Roman"/>
          <w:sz w:val="24"/>
          <w:szCs w:val="24"/>
        </w:rPr>
        <w:t>August 2</w:t>
      </w:r>
      <w:r w:rsidR="00E24544">
        <w:rPr>
          <w:rFonts w:ascii="Times New Roman" w:eastAsia="Times New Roman" w:hAnsi="Times New Roman" w:cs="Times New Roman"/>
          <w:sz w:val="24"/>
          <w:szCs w:val="24"/>
        </w:rPr>
        <w:t>8</w:t>
      </w:r>
      <w:r>
        <w:rPr>
          <w:rFonts w:ascii="Times New Roman" w:eastAsia="Times New Roman" w:hAnsi="Times New Roman" w:cs="Times New Roman"/>
          <w:sz w:val="24"/>
          <w:szCs w:val="24"/>
        </w:rPr>
        <w:t>, 2020</w:t>
      </w:r>
      <w:r w:rsidRPr="002A4367">
        <w:rPr>
          <w:rFonts w:ascii="Times New Roman" w:eastAsia="Times New Roman" w:hAnsi="Times New Roman" w:cs="Times New Roman"/>
          <w:sz w:val="24"/>
          <w:szCs w:val="24"/>
        </w:rPr>
        <w:t xml:space="preserve"> </w:t>
      </w:r>
      <w:r w:rsidRPr="002A4367">
        <w:rPr>
          <w:rFonts w:ascii="Times New Roman" w:eastAsia="Times New Roman" w:hAnsi="Times New Roman" w:cs="Times New Roman"/>
          <w:sz w:val="24"/>
          <w:szCs w:val="24"/>
        </w:rPr>
        <w:tab/>
      </w:r>
      <w:r w:rsidRPr="002A4367">
        <w:rPr>
          <w:rFonts w:ascii="Times New Roman" w:eastAsia="Times New Roman" w:hAnsi="Times New Roman" w:cs="Times New Roman"/>
          <w:sz w:val="24"/>
          <w:szCs w:val="24"/>
        </w:rPr>
        <w:tab/>
        <w:t>Respectfully Submitted,</w:t>
      </w:r>
    </w:p>
    <w:p w14:paraId="22CBFBEF" w14:textId="77777777" w:rsidR="009F448F" w:rsidRPr="002A4367" w:rsidRDefault="009F448F" w:rsidP="009F448F">
      <w:pPr>
        <w:spacing w:after="0" w:line="240" w:lineRule="auto"/>
        <w:ind w:left="4320" w:hanging="72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ab/>
      </w:r>
    </w:p>
    <w:p w14:paraId="068CC2D0" w14:textId="77777777" w:rsidR="009F448F" w:rsidRPr="002A4367" w:rsidRDefault="009F448F" w:rsidP="009F448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George Hoyt</w:t>
      </w:r>
    </w:p>
    <w:p w14:paraId="611A67DF" w14:textId="77777777" w:rsidR="009F448F" w:rsidRPr="002A4367" w:rsidRDefault="009F448F" w:rsidP="009F448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Assistant General Counsel</w:t>
      </w:r>
    </w:p>
    <w:p w14:paraId="4D0FCCB3" w14:textId="0FBE29D1" w:rsidR="009F448F" w:rsidRPr="002A4367" w:rsidRDefault="008C04D8" w:rsidP="009F448F">
      <w:pPr>
        <w:spacing w:after="0" w:line="240" w:lineRule="auto"/>
        <w:ind w:left="4320"/>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Miguel Suazo</w:t>
      </w:r>
    </w:p>
    <w:p w14:paraId="722CBE13" w14:textId="77777777" w:rsidR="009F448F" w:rsidRPr="002A4367" w:rsidRDefault="009F448F" w:rsidP="009F448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Senior Counsel</w:t>
      </w:r>
    </w:p>
    <w:p w14:paraId="3984D0F2" w14:textId="77777777" w:rsidR="009F448F" w:rsidRPr="002A4367" w:rsidRDefault="009F448F" w:rsidP="009F448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Entergy Services, LLC.</w:t>
      </w:r>
    </w:p>
    <w:p w14:paraId="37509913" w14:textId="77777777" w:rsidR="009F448F" w:rsidRPr="002A4367" w:rsidRDefault="009F448F" w:rsidP="009F448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919 Congress Avenue, Suite 701</w:t>
      </w:r>
    </w:p>
    <w:p w14:paraId="2A0D3A7B" w14:textId="77777777" w:rsidR="009F448F" w:rsidRPr="002A4367" w:rsidRDefault="009F448F" w:rsidP="009F448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Austin, Texas 78701</w:t>
      </w:r>
    </w:p>
    <w:p w14:paraId="58894C96" w14:textId="0D570348" w:rsidR="009F448F" w:rsidRPr="002A4367" w:rsidRDefault="009F448F" w:rsidP="009F448F">
      <w:pPr>
        <w:spacing w:after="0" w:line="240" w:lineRule="auto"/>
        <w:ind w:left="3972" w:firstLine="348"/>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512-487-39</w:t>
      </w:r>
      <w:r>
        <w:rPr>
          <w:rFonts w:ascii="Times New Roman" w:eastAsia="Times New Roman" w:hAnsi="Times New Roman" w:cs="Times New Roman"/>
          <w:sz w:val="24"/>
          <w:szCs w:val="24"/>
        </w:rPr>
        <w:t>6</w:t>
      </w:r>
      <w:r w:rsidR="008C04D8">
        <w:rPr>
          <w:rFonts w:ascii="Times New Roman" w:eastAsia="Times New Roman" w:hAnsi="Times New Roman" w:cs="Times New Roman"/>
          <w:sz w:val="24"/>
          <w:szCs w:val="24"/>
        </w:rPr>
        <w:t>1</w:t>
      </w:r>
    </w:p>
    <w:p w14:paraId="264BF068" w14:textId="7279EA72" w:rsidR="009F448F" w:rsidRPr="002A4367" w:rsidRDefault="00FD17BA" w:rsidP="009F448F">
      <w:pPr>
        <w:spacing w:after="0" w:line="240" w:lineRule="auto"/>
        <w:ind w:left="4320"/>
        <w:outlineLvl w:val="0"/>
        <w:rPr>
          <w:rFonts w:ascii="Times New Roman" w:eastAsia="Times New Roman" w:hAnsi="Times New Roman" w:cs="Times New Roman"/>
          <w:sz w:val="24"/>
          <w:szCs w:val="24"/>
        </w:rPr>
      </w:pPr>
      <w:r w:rsidRPr="001443C3">
        <w:rPr>
          <w:noProof/>
        </w:rPr>
        <w:drawing>
          <wp:anchor distT="0" distB="0" distL="114300" distR="114300" simplePos="0" relativeHeight="251659264" behindDoc="1" locked="0" layoutInCell="1" allowOverlap="1" wp14:anchorId="54DA6855" wp14:editId="3D41A9E9">
            <wp:simplePos x="0" y="0"/>
            <wp:positionH relativeFrom="column">
              <wp:posOffset>3071611</wp:posOffset>
            </wp:positionH>
            <wp:positionV relativeFrom="paragraph">
              <wp:posOffset>92308</wp:posOffset>
            </wp:positionV>
            <wp:extent cx="2229163" cy="655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2229163" cy="65532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48F" w:rsidRPr="002A4367">
        <w:rPr>
          <w:rFonts w:ascii="Times New Roman" w:eastAsia="Times New Roman" w:hAnsi="Times New Roman" w:cs="Times New Roman"/>
          <w:sz w:val="24"/>
          <w:szCs w:val="24"/>
        </w:rPr>
        <w:t>512-487-3958 (Fax)</w:t>
      </w:r>
    </w:p>
    <w:p w14:paraId="4A529E6C" w14:textId="5AC66AA7" w:rsidR="009F448F" w:rsidRDefault="009F448F" w:rsidP="009F448F">
      <w:pPr>
        <w:spacing w:after="0" w:line="240" w:lineRule="auto"/>
        <w:ind w:left="4320"/>
        <w:rPr>
          <w:rFonts w:ascii="Times New Roman" w:eastAsia="Times New Roman" w:hAnsi="Times New Roman" w:cs="Times New Roman"/>
          <w:sz w:val="24"/>
          <w:szCs w:val="24"/>
        </w:rPr>
      </w:pPr>
    </w:p>
    <w:p w14:paraId="5E946A80" w14:textId="64FA541E" w:rsidR="009F448F" w:rsidRPr="002A4367" w:rsidRDefault="009F448F" w:rsidP="009F448F">
      <w:pPr>
        <w:spacing w:after="0" w:line="240" w:lineRule="auto"/>
        <w:ind w:left="4770"/>
        <w:rPr>
          <w:rFonts w:ascii="Times New Roman" w:eastAsia="Times New Roman" w:hAnsi="Times New Roman" w:cs="Times New Roman"/>
          <w:sz w:val="24"/>
          <w:szCs w:val="24"/>
        </w:rPr>
      </w:pPr>
    </w:p>
    <w:p w14:paraId="7EC6A576" w14:textId="4A2418AA" w:rsidR="009F448F" w:rsidRPr="002A4367" w:rsidRDefault="009F448F" w:rsidP="009F448F">
      <w:pPr>
        <w:spacing w:after="0" w:line="240" w:lineRule="auto"/>
        <w:ind w:left="432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By:_______________________________</w:t>
      </w:r>
    </w:p>
    <w:p w14:paraId="25C68E77" w14:textId="5E259827" w:rsidR="009F448F" w:rsidRPr="002A4367" w:rsidRDefault="008C04D8" w:rsidP="009F448F">
      <w:pPr>
        <w:spacing w:after="0" w:line="240" w:lineRule="auto"/>
        <w:ind w:left="4320" w:firstLine="360"/>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Miguel Suazo</w:t>
      </w:r>
    </w:p>
    <w:p w14:paraId="4D54229A" w14:textId="4DDD4AEE" w:rsidR="009F448F" w:rsidRPr="002A4367" w:rsidRDefault="009F448F" w:rsidP="009F448F">
      <w:pPr>
        <w:spacing w:after="0" w:line="240" w:lineRule="auto"/>
        <w:ind w:left="4320" w:firstLine="36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State Bar No. </w:t>
      </w:r>
      <w:r w:rsidR="00281AD8" w:rsidRPr="002A4367">
        <w:rPr>
          <w:rFonts w:ascii="Times New Roman" w:eastAsia="Times New Roman" w:hAnsi="Times New Roman" w:cs="Times New Roman"/>
          <w:sz w:val="24"/>
          <w:szCs w:val="24"/>
        </w:rPr>
        <w:t>240</w:t>
      </w:r>
      <w:r w:rsidR="00281AD8">
        <w:rPr>
          <w:rFonts w:ascii="Times New Roman" w:eastAsia="Times New Roman" w:hAnsi="Times New Roman" w:cs="Times New Roman"/>
          <w:sz w:val="24"/>
          <w:szCs w:val="24"/>
        </w:rPr>
        <w:t>85608</w:t>
      </w:r>
    </w:p>
    <w:p w14:paraId="2FC050B4" w14:textId="77777777" w:rsidR="009F448F" w:rsidRPr="002A4367" w:rsidRDefault="009F448F" w:rsidP="009F448F">
      <w:pPr>
        <w:spacing w:after="0" w:line="240" w:lineRule="auto"/>
        <w:ind w:left="4320" w:firstLine="360"/>
        <w:rPr>
          <w:rFonts w:ascii="Times New Roman" w:eastAsia="Times New Roman" w:hAnsi="Times New Roman" w:cs="Times New Roman"/>
          <w:sz w:val="24"/>
          <w:szCs w:val="24"/>
        </w:rPr>
      </w:pPr>
    </w:p>
    <w:p w14:paraId="42E3F4B3" w14:textId="547AADC3" w:rsidR="009F448F" w:rsidRPr="00DA42FF" w:rsidRDefault="009F448F" w:rsidP="00DA42FF">
      <w:pPr>
        <w:spacing w:after="0" w:line="240" w:lineRule="auto"/>
        <w:ind w:left="4320"/>
        <w:outlineLvl w:val="0"/>
        <w:rPr>
          <w:rFonts w:ascii="Times New Roman" w:eastAsia="Times New Roman" w:hAnsi="Times New Roman" w:cs="Times New Roman"/>
          <w:sz w:val="24"/>
          <w:szCs w:val="24"/>
        </w:rPr>
      </w:pPr>
      <w:r w:rsidRPr="002A4367">
        <w:rPr>
          <w:rFonts w:ascii="Times New Roman" w:eastAsia="Times New Roman" w:hAnsi="Times New Roman" w:cs="Times New Roman"/>
          <w:sz w:val="24"/>
          <w:szCs w:val="24"/>
        </w:rPr>
        <w:t>ATTORNEYS FOR ENTERGY TEXAS, INC.</w:t>
      </w:r>
    </w:p>
    <w:sectPr w:rsidR="009F448F" w:rsidRPr="00DA42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8589C" w14:textId="77777777" w:rsidR="00876BCD" w:rsidRDefault="00876BCD" w:rsidP="005459FF">
      <w:pPr>
        <w:spacing w:after="0" w:line="240" w:lineRule="auto"/>
      </w:pPr>
      <w:r>
        <w:separator/>
      </w:r>
    </w:p>
  </w:endnote>
  <w:endnote w:type="continuationSeparator" w:id="0">
    <w:p w14:paraId="5273D435" w14:textId="77777777" w:rsidR="00876BCD" w:rsidRDefault="00876BCD" w:rsidP="0054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4C588" w14:textId="77777777" w:rsidR="00876BCD" w:rsidRDefault="00876BCD" w:rsidP="005459FF">
      <w:pPr>
        <w:spacing w:after="0" w:line="240" w:lineRule="auto"/>
      </w:pPr>
      <w:r>
        <w:separator/>
      </w:r>
    </w:p>
  </w:footnote>
  <w:footnote w:type="continuationSeparator" w:id="0">
    <w:p w14:paraId="4523F0C7" w14:textId="77777777" w:rsidR="00876BCD" w:rsidRDefault="00876BCD" w:rsidP="005459FF">
      <w:pPr>
        <w:spacing w:after="0" w:line="240" w:lineRule="auto"/>
      </w:pPr>
      <w:r>
        <w:continuationSeparator/>
      </w:r>
    </w:p>
  </w:footnote>
  <w:footnote w:id="1">
    <w:p w14:paraId="6085620F" w14:textId="5556146F" w:rsidR="003263BF" w:rsidRPr="00D212C2" w:rsidRDefault="003263BF" w:rsidP="003263BF">
      <w:pPr>
        <w:pStyle w:val="FootnoteText"/>
        <w:jc w:val="both"/>
        <w:rPr>
          <w:rFonts w:ascii="Times New Roman" w:hAnsi="Times New Roman" w:cs="Times New Roman"/>
        </w:rPr>
      </w:pPr>
      <w:r w:rsidRPr="00D212C2">
        <w:rPr>
          <w:rStyle w:val="FootnoteReference"/>
          <w:rFonts w:ascii="Times New Roman" w:hAnsi="Times New Roman" w:cs="Times New Roman"/>
        </w:rPr>
        <w:footnoteRef/>
      </w:r>
      <w:r w:rsidR="0002002E">
        <w:rPr>
          <w:rFonts w:ascii="Times New Roman" w:hAnsi="Times New Roman" w:cs="Times New Roman"/>
        </w:rPr>
        <w:t xml:space="preserve"> </w:t>
      </w:r>
      <w:r w:rsidRPr="00D212C2">
        <w:rPr>
          <w:rFonts w:ascii="Times New Roman" w:hAnsi="Times New Roman" w:cs="Times New Roman"/>
        </w:rPr>
        <w:t xml:space="preserve"> </w:t>
      </w:r>
      <w:r>
        <w:rPr>
          <w:rFonts w:ascii="Times New Roman" w:hAnsi="Times New Roman" w:cs="Times New Roman"/>
        </w:rPr>
        <w:t>A</w:t>
      </w:r>
      <w:r w:rsidRPr="00D212C2">
        <w:rPr>
          <w:rFonts w:ascii="Times New Roman" w:hAnsi="Times New Roman" w:cs="Times New Roman"/>
        </w:rPr>
        <w:t xml:space="preserve">t least </w:t>
      </w:r>
      <w:r>
        <w:rPr>
          <w:rFonts w:ascii="Times New Roman" w:hAnsi="Times New Roman" w:cs="Times New Roman"/>
        </w:rPr>
        <w:t xml:space="preserve">24 state regulatory bodies (plus DC) in the United States have issued rulings regarding the treatment of sales from EV charging stations, and all ruled that charging stations should not be regulated in the same manner as utilities.  Nat’l Ass’n of Regulatory Util. Comm’rs, </w:t>
      </w:r>
      <w:r w:rsidRPr="00D212C2">
        <w:rPr>
          <w:rFonts w:ascii="Times New Roman" w:hAnsi="Times New Roman" w:cs="Times New Roman"/>
          <w:i/>
          <w:iCs/>
        </w:rPr>
        <w:t>Electric Vehicles: Key Trends, Issues, and Considerations for State Regulators</w:t>
      </w:r>
      <w:r>
        <w:rPr>
          <w:rFonts w:ascii="Times New Roman" w:hAnsi="Times New Roman" w:cs="Times New Roman"/>
        </w:rPr>
        <w:t xml:space="preserve">, at 11-12 (October 2019), </w:t>
      </w:r>
      <w:r w:rsidRPr="00D212C2">
        <w:rPr>
          <w:rFonts w:ascii="Times New Roman" w:hAnsi="Times New Roman" w:cs="Times New Roman"/>
        </w:rPr>
        <w:t>https://pubs.naruc.org/pub/32857459-0005-B8C5-95C6-1920829CABFE</w:t>
      </w:r>
      <w:r>
        <w:rPr>
          <w:rFonts w:ascii="Times New Roman" w:hAnsi="Times New Roman" w:cs="Times New Roman"/>
        </w:rPr>
        <w:t xml:space="preserve"> (last visited Aug. 28,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507E7"/>
    <w:multiLevelType w:val="hybridMultilevel"/>
    <w:tmpl w:val="1480C4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A1BD1"/>
    <w:multiLevelType w:val="hybridMultilevel"/>
    <w:tmpl w:val="C64E39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F40BAD"/>
    <w:multiLevelType w:val="hybridMultilevel"/>
    <w:tmpl w:val="081C5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1712E0"/>
    <w:multiLevelType w:val="hybridMultilevel"/>
    <w:tmpl w:val="308CB1F6"/>
    <w:lvl w:ilvl="0" w:tplc="94F61D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33356"/>
    <w:multiLevelType w:val="hybridMultilevel"/>
    <w:tmpl w:val="59DA8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177"/>
    <w:rsid w:val="00014693"/>
    <w:rsid w:val="0002002E"/>
    <w:rsid w:val="00021381"/>
    <w:rsid w:val="0004193C"/>
    <w:rsid w:val="00062B81"/>
    <w:rsid w:val="000A1F67"/>
    <w:rsid w:val="000A5065"/>
    <w:rsid w:val="000A5A5C"/>
    <w:rsid w:val="000C2589"/>
    <w:rsid w:val="000E76B8"/>
    <w:rsid w:val="000F4848"/>
    <w:rsid w:val="0018338E"/>
    <w:rsid w:val="001B23C5"/>
    <w:rsid w:val="001B7AB5"/>
    <w:rsid w:val="001D412A"/>
    <w:rsid w:val="001F1518"/>
    <w:rsid w:val="0020783E"/>
    <w:rsid w:val="002343D9"/>
    <w:rsid w:val="00260BE9"/>
    <w:rsid w:val="00272AA3"/>
    <w:rsid w:val="00275595"/>
    <w:rsid w:val="00281AD8"/>
    <w:rsid w:val="00283977"/>
    <w:rsid w:val="002A1017"/>
    <w:rsid w:val="002A4456"/>
    <w:rsid w:val="002B3B2B"/>
    <w:rsid w:val="002F2818"/>
    <w:rsid w:val="0031153C"/>
    <w:rsid w:val="003263BF"/>
    <w:rsid w:val="00350426"/>
    <w:rsid w:val="003839AA"/>
    <w:rsid w:val="003D395E"/>
    <w:rsid w:val="00450B4D"/>
    <w:rsid w:val="00455177"/>
    <w:rsid w:val="004556F5"/>
    <w:rsid w:val="0045693C"/>
    <w:rsid w:val="004A2BD0"/>
    <w:rsid w:val="004B03D5"/>
    <w:rsid w:val="004B512B"/>
    <w:rsid w:val="004B5440"/>
    <w:rsid w:val="004B757A"/>
    <w:rsid w:val="004B7939"/>
    <w:rsid w:val="004E2AB6"/>
    <w:rsid w:val="0051424E"/>
    <w:rsid w:val="005145CD"/>
    <w:rsid w:val="005174A5"/>
    <w:rsid w:val="00525778"/>
    <w:rsid w:val="00526174"/>
    <w:rsid w:val="005459FF"/>
    <w:rsid w:val="005479BD"/>
    <w:rsid w:val="00561BAF"/>
    <w:rsid w:val="006118A2"/>
    <w:rsid w:val="00612CDD"/>
    <w:rsid w:val="00644DB4"/>
    <w:rsid w:val="006577B2"/>
    <w:rsid w:val="0067491E"/>
    <w:rsid w:val="00691B54"/>
    <w:rsid w:val="006B0267"/>
    <w:rsid w:val="006B292B"/>
    <w:rsid w:val="006C4B57"/>
    <w:rsid w:val="006D71F5"/>
    <w:rsid w:val="006E56C5"/>
    <w:rsid w:val="00736C95"/>
    <w:rsid w:val="0075713C"/>
    <w:rsid w:val="00760BD1"/>
    <w:rsid w:val="007837E2"/>
    <w:rsid w:val="00824C66"/>
    <w:rsid w:val="008676E3"/>
    <w:rsid w:val="00867D54"/>
    <w:rsid w:val="00876BCD"/>
    <w:rsid w:val="008B1ECE"/>
    <w:rsid w:val="008C04D8"/>
    <w:rsid w:val="008E188A"/>
    <w:rsid w:val="00953A50"/>
    <w:rsid w:val="009849D8"/>
    <w:rsid w:val="009C1AAF"/>
    <w:rsid w:val="009C6A45"/>
    <w:rsid w:val="009C772F"/>
    <w:rsid w:val="009F448F"/>
    <w:rsid w:val="00A04B82"/>
    <w:rsid w:val="00A61ABA"/>
    <w:rsid w:val="00A62699"/>
    <w:rsid w:val="00A650B3"/>
    <w:rsid w:val="00AC5E50"/>
    <w:rsid w:val="00AE0907"/>
    <w:rsid w:val="00B332C5"/>
    <w:rsid w:val="00BD41E4"/>
    <w:rsid w:val="00BE4B56"/>
    <w:rsid w:val="00BF3E9C"/>
    <w:rsid w:val="00C10767"/>
    <w:rsid w:val="00C16189"/>
    <w:rsid w:val="00C370C1"/>
    <w:rsid w:val="00C624A7"/>
    <w:rsid w:val="00CF4D17"/>
    <w:rsid w:val="00D06B9F"/>
    <w:rsid w:val="00D212C2"/>
    <w:rsid w:val="00D4057D"/>
    <w:rsid w:val="00D43B52"/>
    <w:rsid w:val="00D61F64"/>
    <w:rsid w:val="00DA42FF"/>
    <w:rsid w:val="00DA638E"/>
    <w:rsid w:val="00DC102A"/>
    <w:rsid w:val="00DC55B1"/>
    <w:rsid w:val="00DE39FF"/>
    <w:rsid w:val="00DE69F2"/>
    <w:rsid w:val="00DF0DD8"/>
    <w:rsid w:val="00DF154C"/>
    <w:rsid w:val="00E24544"/>
    <w:rsid w:val="00E25997"/>
    <w:rsid w:val="00E40C3E"/>
    <w:rsid w:val="00E840E2"/>
    <w:rsid w:val="00E92A0D"/>
    <w:rsid w:val="00EC2A4B"/>
    <w:rsid w:val="00EC5B18"/>
    <w:rsid w:val="00ED073C"/>
    <w:rsid w:val="00ED1876"/>
    <w:rsid w:val="00ED2081"/>
    <w:rsid w:val="00F02BB0"/>
    <w:rsid w:val="00F16D40"/>
    <w:rsid w:val="00F21798"/>
    <w:rsid w:val="00F316CE"/>
    <w:rsid w:val="00F6025A"/>
    <w:rsid w:val="00F653BD"/>
    <w:rsid w:val="00F861F3"/>
    <w:rsid w:val="00FC08DC"/>
    <w:rsid w:val="00FC1094"/>
    <w:rsid w:val="00FD17BA"/>
    <w:rsid w:val="00FE1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8C7E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qFormat/>
    <w:rsid w:val="000E76B8"/>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177"/>
    <w:pPr>
      <w:ind w:left="720"/>
      <w:contextualSpacing/>
    </w:pPr>
  </w:style>
  <w:style w:type="paragraph" w:styleId="BalloonText">
    <w:name w:val="Balloon Text"/>
    <w:basedOn w:val="Normal"/>
    <w:link w:val="BalloonTextChar"/>
    <w:uiPriority w:val="99"/>
    <w:semiHidden/>
    <w:unhideWhenUsed/>
    <w:rsid w:val="001B23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3C5"/>
    <w:rPr>
      <w:rFonts w:ascii="Segoe UI" w:hAnsi="Segoe UI" w:cs="Segoe UI"/>
      <w:sz w:val="18"/>
      <w:szCs w:val="18"/>
    </w:rPr>
  </w:style>
  <w:style w:type="paragraph" w:styleId="FootnoteText">
    <w:name w:val="footnote text"/>
    <w:basedOn w:val="Normal"/>
    <w:link w:val="FootnoteTextChar"/>
    <w:uiPriority w:val="99"/>
    <w:semiHidden/>
    <w:unhideWhenUsed/>
    <w:rsid w:val="005459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59FF"/>
    <w:rPr>
      <w:sz w:val="20"/>
      <w:szCs w:val="20"/>
    </w:rPr>
  </w:style>
  <w:style w:type="character" w:styleId="FootnoteReference">
    <w:name w:val="footnote reference"/>
    <w:basedOn w:val="DefaultParagraphFont"/>
    <w:uiPriority w:val="99"/>
    <w:semiHidden/>
    <w:unhideWhenUsed/>
    <w:rsid w:val="005459FF"/>
    <w:rPr>
      <w:vertAlign w:val="superscript"/>
    </w:rPr>
  </w:style>
  <w:style w:type="character" w:styleId="Hyperlink">
    <w:name w:val="Hyperlink"/>
    <w:basedOn w:val="DefaultParagraphFont"/>
    <w:uiPriority w:val="99"/>
    <w:unhideWhenUsed/>
    <w:rsid w:val="005459FF"/>
    <w:rPr>
      <w:color w:val="0000FF"/>
      <w:u w:val="single"/>
    </w:rPr>
  </w:style>
  <w:style w:type="character" w:styleId="CommentReference">
    <w:name w:val="annotation reference"/>
    <w:basedOn w:val="DefaultParagraphFont"/>
    <w:uiPriority w:val="99"/>
    <w:semiHidden/>
    <w:unhideWhenUsed/>
    <w:rsid w:val="004556F5"/>
    <w:rPr>
      <w:sz w:val="16"/>
      <w:szCs w:val="16"/>
    </w:rPr>
  </w:style>
  <w:style w:type="paragraph" w:styleId="CommentText">
    <w:name w:val="annotation text"/>
    <w:basedOn w:val="Normal"/>
    <w:link w:val="CommentTextChar"/>
    <w:uiPriority w:val="99"/>
    <w:semiHidden/>
    <w:unhideWhenUsed/>
    <w:rsid w:val="004556F5"/>
    <w:pPr>
      <w:spacing w:line="240" w:lineRule="auto"/>
    </w:pPr>
    <w:rPr>
      <w:sz w:val="20"/>
      <w:szCs w:val="20"/>
    </w:rPr>
  </w:style>
  <w:style w:type="character" w:customStyle="1" w:styleId="CommentTextChar">
    <w:name w:val="Comment Text Char"/>
    <w:basedOn w:val="DefaultParagraphFont"/>
    <w:link w:val="CommentText"/>
    <w:uiPriority w:val="99"/>
    <w:semiHidden/>
    <w:rsid w:val="004556F5"/>
    <w:rPr>
      <w:sz w:val="20"/>
      <w:szCs w:val="20"/>
    </w:rPr>
  </w:style>
  <w:style w:type="paragraph" w:styleId="CommentSubject">
    <w:name w:val="annotation subject"/>
    <w:basedOn w:val="CommentText"/>
    <w:next w:val="CommentText"/>
    <w:link w:val="CommentSubjectChar"/>
    <w:uiPriority w:val="99"/>
    <w:semiHidden/>
    <w:unhideWhenUsed/>
    <w:rsid w:val="004556F5"/>
    <w:rPr>
      <w:b/>
      <w:bCs/>
    </w:rPr>
  </w:style>
  <w:style w:type="character" w:customStyle="1" w:styleId="CommentSubjectChar">
    <w:name w:val="Comment Subject Char"/>
    <w:basedOn w:val="CommentTextChar"/>
    <w:link w:val="CommentSubject"/>
    <w:uiPriority w:val="99"/>
    <w:semiHidden/>
    <w:rsid w:val="004556F5"/>
    <w:rPr>
      <w:b/>
      <w:bCs/>
      <w:sz w:val="20"/>
      <w:szCs w:val="20"/>
    </w:rPr>
  </w:style>
  <w:style w:type="character" w:styleId="Emphasis">
    <w:name w:val="Emphasis"/>
    <w:basedOn w:val="DefaultParagraphFont"/>
    <w:uiPriority w:val="20"/>
    <w:qFormat/>
    <w:rsid w:val="008B1ECE"/>
    <w:rPr>
      <w:i/>
      <w:iCs/>
    </w:rPr>
  </w:style>
  <w:style w:type="character" w:styleId="UnresolvedMention">
    <w:name w:val="Unresolved Mention"/>
    <w:basedOn w:val="DefaultParagraphFont"/>
    <w:uiPriority w:val="99"/>
    <w:semiHidden/>
    <w:unhideWhenUsed/>
    <w:rsid w:val="00ED073C"/>
    <w:rPr>
      <w:color w:val="605E5C"/>
      <w:shd w:val="clear" w:color="auto" w:fill="E1DFDD"/>
    </w:rPr>
  </w:style>
  <w:style w:type="character" w:customStyle="1" w:styleId="Heading6Char">
    <w:name w:val="Heading 6 Char"/>
    <w:basedOn w:val="DefaultParagraphFont"/>
    <w:link w:val="Heading6"/>
    <w:rsid w:val="000E76B8"/>
    <w:rPr>
      <w:rFonts w:ascii="Times New Roman" w:eastAsia="Times New Roman" w:hAnsi="Times New Roman" w:cs="Times New Roman"/>
      <w:b/>
      <w:bCs/>
    </w:rPr>
  </w:style>
  <w:style w:type="paragraph" w:styleId="Caption">
    <w:name w:val="caption"/>
    <w:basedOn w:val="Normal"/>
    <w:next w:val="Normal"/>
    <w:qFormat/>
    <w:rsid w:val="000E76B8"/>
    <w:pPr>
      <w:spacing w:after="0" w:line="240" w:lineRule="auto"/>
      <w:jc w:val="center"/>
    </w:pPr>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3D395E"/>
    <w:rPr>
      <w:color w:val="954F72" w:themeColor="followedHyperlink"/>
      <w:u w:val="single"/>
    </w:rPr>
  </w:style>
  <w:style w:type="paragraph" w:styleId="Revision">
    <w:name w:val="Revision"/>
    <w:hidden/>
    <w:uiPriority w:val="99"/>
    <w:semiHidden/>
    <w:rsid w:val="00561BAF"/>
    <w:pPr>
      <w:spacing w:after="0" w:line="240" w:lineRule="auto"/>
    </w:pPr>
  </w:style>
  <w:style w:type="paragraph" w:styleId="Header">
    <w:name w:val="header"/>
    <w:basedOn w:val="Normal"/>
    <w:link w:val="HeaderChar"/>
    <w:uiPriority w:val="99"/>
    <w:unhideWhenUsed/>
    <w:rsid w:val="006D71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71F5"/>
  </w:style>
  <w:style w:type="paragraph" w:styleId="Footer">
    <w:name w:val="footer"/>
    <w:basedOn w:val="Normal"/>
    <w:link w:val="FooterChar"/>
    <w:uiPriority w:val="99"/>
    <w:unhideWhenUsed/>
    <w:rsid w:val="006D71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DCFF0-ED1D-47DF-A2AD-22542AA3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2020-08-28T16:34:00Z</dcterms:created>
  <dcterms:modified xsi:type="dcterms:W3CDTF">2020-08-28T17:01:00Z</dcterms:modified>
</cp:coreProperties>
</file>